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0573B7C3" w:rsidR="00A70556" w:rsidRDefault="00DD433F" w:rsidP="00DD433F">
            <w:pPr>
              <w:spacing w:after="0" w:line="276" w:lineRule="auto"/>
            </w:pPr>
            <w:r>
              <w:t>E</w:t>
            </w:r>
            <w:r w:rsidRPr="00DD433F">
              <w:t xml:space="preserve">ducación para </w:t>
            </w:r>
            <w:r>
              <w:t>Jóvenes y A</w:t>
            </w:r>
            <w:r w:rsidRPr="00DD433F">
              <w:t>dultos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DD433F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1E44BB62" w:rsidR="00B861E0" w:rsidRPr="00DD433F" w:rsidRDefault="00DD433F" w:rsidP="00A123E6">
            <w:pPr>
              <w:spacing w:after="0" w:line="276" w:lineRule="auto"/>
              <w:jc w:val="center"/>
              <w:rPr>
                <w:bCs/>
              </w:rPr>
            </w:pPr>
            <w:r w:rsidRPr="00DD433F">
              <w:rPr>
                <w:bCs/>
              </w:rPr>
              <w:t>22/03/2023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6CEF6AA8" w:rsidR="00B861E0" w:rsidRPr="00DD433F" w:rsidRDefault="00DD433F" w:rsidP="00A123E6">
            <w:pPr>
              <w:spacing w:after="0" w:line="276" w:lineRule="auto"/>
              <w:jc w:val="center"/>
              <w:rPr>
                <w:bCs/>
              </w:rPr>
            </w:pPr>
            <w:r w:rsidRPr="00DD433F">
              <w:rPr>
                <w:bCs/>
              </w:rPr>
              <w:t>31/07/23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F90251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02266445" w:rsidR="009F4211" w:rsidRPr="00F90251" w:rsidRDefault="00F90251" w:rsidP="009F4211">
            <w:pPr>
              <w:pStyle w:val="Prrafodelista"/>
              <w:spacing w:after="0" w:line="276" w:lineRule="auto"/>
              <w:ind w:left="37"/>
              <w:jc w:val="both"/>
              <w:rPr>
                <w:bCs/>
              </w:rPr>
            </w:pPr>
            <w:r w:rsidRPr="00F90251">
              <w:rPr>
                <w:bCs/>
              </w:rPr>
              <w:t>Lic. José Luis Alvarado Medrano, Jefe del Departamento de Planeación y Seguimiento Operativo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2268ECA8" w:rsidR="00B920F2" w:rsidRDefault="00F90251" w:rsidP="00521401">
      <w:pPr>
        <w:pStyle w:val="Prrafodelista"/>
        <w:spacing w:after="0" w:line="276" w:lineRule="auto"/>
        <w:ind w:left="142"/>
        <w:jc w:val="both"/>
      </w:pPr>
      <w:r w:rsidRPr="00F90251">
        <w:t>Contar con una valoración del desempeño del programa Educación para Jóvenes y Adultos en su ejercicio fiscal 2022, con base en la información entregada por las unidades responsables de los programas de las dependencias o entidades, a través de la Evaluación de Desempeño (ED), para contribuir a la toma de decisiones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120389C5" w14:textId="77777777" w:rsidR="00F90251" w:rsidRDefault="00F90251" w:rsidP="00F902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Reportar los resultados y productos de los programas evaluados durante el ejercicio fiscal a evaluar, mediante el análisis de los indicadores de resultados y de los indicadores de servicios y gestión.</w:t>
      </w:r>
    </w:p>
    <w:p w14:paraId="2CC8FC65" w14:textId="77777777" w:rsidR="00F90251" w:rsidRDefault="00F90251" w:rsidP="00F902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avance de las metas de los Indicadores de Resultados, respecto de años anteriores y el avance en relación con las metas establecidas para el ejercicio fiscal a evaluar.</w:t>
      </w:r>
    </w:p>
    <w:p w14:paraId="35878084" w14:textId="77777777" w:rsidR="00F90251" w:rsidRDefault="00F90251" w:rsidP="00F902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los principales aspectos susceptibles de mejora de los programas.</w:t>
      </w:r>
    </w:p>
    <w:p w14:paraId="2A5A08EB" w14:textId="77777777" w:rsidR="00F90251" w:rsidRDefault="00F90251" w:rsidP="00F902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evolución de la cobertura y el presupuesto de los programas.</w:t>
      </w:r>
    </w:p>
    <w:p w14:paraId="5B14E55A" w14:textId="77777777" w:rsidR="00F90251" w:rsidRDefault="00F90251" w:rsidP="00F902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las fortalezas, los retos y las recomendaciones de los programas.</w:t>
      </w:r>
    </w:p>
    <w:p w14:paraId="4BAFA08F" w14:textId="77777777" w:rsidR="00F90251" w:rsidRDefault="00F90251" w:rsidP="00F902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4CC396A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F90251">
        <w:t>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0F5B8AF1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F90251">
              <w:t>Desempeño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3F69774C" w14:textId="77777777" w:rsidR="00441C79" w:rsidRDefault="00441C79" w:rsidP="00441C79">
      <w:pPr>
        <w:ind w:left="708"/>
        <w:jc w:val="both"/>
      </w:pPr>
      <w:r>
        <w:t>El programa Educación para Jóvenes y Adultos busca promover y realizar diferentes acciones para organizar e impartir la educación, así como disminuir considerablemente el índice de rezago educativo en el Estado, por ello el programa muestra una gran eficiencia, en tanto que atiende a todas las personas mayores de 15 años que solicitan los servicios del ISEJA y que se cuenta con una cobertura en el Estado de Sinaloa.</w:t>
      </w:r>
    </w:p>
    <w:p w14:paraId="4C126BB6" w14:textId="77777777" w:rsidR="00441C79" w:rsidRDefault="00441C79" w:rsidP="00441C79">
      <w:pPr>
        <w:ind w:left="708"/>
        <w:jc w:val="both"/>
      </w:pPr>
      <w:r>
        <w:t xml:space="preserve">Cabe mencionar que en donde se presentó una mayor cobertura fueron en los municipios de Culiacán, Ahome, Mazatlán, Navolato, Guasave y El Fuerte, en contraste con los municipios de Cosalá, Angostura, San Ignacio, Salvador Alvarado, Concordia y Mocorito, los cuales, fueron los municipios con menor cobertura, sin embargo, la cobertura del proyecto es para todo el Estado de Sinaloa. </w:t>
      </w:r>
    </w:p>
    <w:p w14:paraId="76A64F9A" w14:textId="7F467FEA" w:rsidR="00113BCD" w:rsidRDefault="00441C79" w:rsidP="00441C79">
      <w:pPr>
        <w:ind w:left="708"/>
        <w:jc w:val="both"/>
      </w:pPr>
      <w:r>
        <w:t>Lo anterior, se logró a través de los 2,110 círculos de estudio distribuidos estratégicamente en los 18 municipios, además de que se cuenta con 57 plazas comunitarias donde las personas pueden acudir a recibir la educación básica con el apoyo de las Tecnologías de la Información y Comunicación (TIC´S) de acuerdo al programa educativo al que se inscriban.</w:t>
      </w:r>
    </w:p>
    <w:p w14:paraId="4EA6358F" w14:textId="1E18A2B1" w:rsidR="00441C79" w:rsidRDefault="00441C79" w:rsidP="00441C79">
      <w:pPr>
        <w:ind w:left="708"/>
        <w:jc w:val="both"/>
      </w:pPr>
      <w:r w:rsidRPr="00F15B0C">
        <w:t xml:space="preserve">En el ejercicio fiscal 2022, se contempló una población objetivo de </w:t>
      </w:r>
      <w:r w:rsidR="006648F5" w:rsidRPr="00F15B0C">
        <w:t>31,840</w:t>
      </w:r>
      <w:r w:rsidRPr="00F15B0C">
        <w:t xml:space="preserve"> personas, sin embargo, se</w:t>
      </w:r>
      <w:r w:rsidRPr="00441C79">
        <w:t xml:space="preserve"> lograron atender a 15,755 educandos en las diferentes unidades operativas, incluidas las plazas comunitarias, en la modalidad de asesorías en los ejes temáticos de Ciencias, Matemáticas y Lengua y Comunicación.</w:t>
      </w:r>
    </w:p>
    <w:p w14:paraId="37465E84" w14:textId="539E4C02" w:rsidR="00441C79" w:rsidRDefault="00441C79" w:rsidP="00441C79">
      <w:pPr>
        <w:ind w:left="708"/>
        <w:jc w:val="both"/>
      </w:pPr>
      <w:r w:rsidRPr="00441C79">
        <w:t>Al cierre del ejercicio fiscal 2022, 11,803 jóvenes y adultos concluyeron de nivel educativo, 965 fueron en el nivel inicial, 3,022 fueron en el nivel primaria y 7,816 fueron en el nivel secundaria.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73552C10" w14:textId="77777777" w:rsidR="00F90251" w:rsidRDefault="00F90251" w:rsidP="00F90251">
      <w:pPr>
        <w:pStyle w:val="Prrafodelista"/>
        <w:numPr>
          <w:ilvl w:val="0"/>
          <w:numId w:val="8"/>
        </w:numPr>
        <w:spacing w:line="276" w:lineRule="auto"/>
      </w:pPr>
      <w:r>
        <w:t>Ser la opción educativa más flexible para jóvenes y adultos que no han concluido su educación básica, debido a que se adapta a las necesidades particulares de cada grupo de la población y les permite avanzar a su propio ritmo, brindándoles los conocimiento y herramientas necesarias para mejorar sus condiciones de vida.</w:t>
      </w:r>
    </w:p>
    <w:p w14:paraId="25885C9F" w14:textId="77777777" w:rsidR="00F90251" w:rsidRDefault="00F90251" w:rsidP="00F90251">
      <w:pPr>
        <w:pStyle w:val="Prrafodelista"/>
        <w:numPr>
          <w:ilvl w:val="0"/>
          <w:numId w:val="8"/>
        </w:numPr>
        <w:spacing w:line="276" w:lineRule="auto"/>
      </w:pPr>
      <w:r>
        <w:t>Se cuenta con sistema automatizado de registro y seguimiento de los educandos y su proceso educativo (SASA).</w:t>
      </w:r>
    </w:p>
    <w:p w14:paraId="7B560E82" w14:textId="77777777" w:rsidR="00F90251" w:rsidRDefault="00F90251" w:rsidP="00F90251">
      <w:pPr>
        <w:pStyle w:val="Prrafodelista"/>
        <w:numPr>
          <w:ilvl w:val="0"/>
          <w:numId w:val="8"/>
        </w:numPr>
        <w:spacing w:line="276" w:lineRule="auto"/>
      </w:pPr>
      <w:r>
        <w:t>Brinda los servicios educativos de manera gratuita y mediante estrategias de atención, con un enfoque integral e incluyente, ampliando la cobertura educativa a grupos en situación de vulnerabilidad, especialmente a jornaleros agrícolas, adultos mayores, al grupo especial de niños y Jóvenes de 10 a 14 años, entre otros.</w:t>
      </w:r>
    </w:p>
    <w:p w14:paraId="2F778DC2" w14:textId="77777777" w:rsidR="00F90251" w:rsidRDefault="00F90251" w:rsidP="00F90251">
      <w:pPr>
        <w:pStyle w:val="Prrafodelista"/>
        <w:numPr>
          <w:ilvl w:val="0"/>
          <w:numId w:val="8"/>
        </w:numPr>
        <w:spacing w:line="276" w:lineRule="auto"/>
      </w:pPr>
      <w:r>
        <w:t>Tiene cobertura estatal y brinda los servicios educativos a través de las Coordinaciones de Zona distribuidas en los 18 municipios.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696A0072" w14:textId="741C35EB" w:rsidR="00F90251" w:rsidRDefault="00F90251" w:rsidP="00F90251">
      <w:pPr>
        <w:pStyle w:val="Prrafodelista"/>
        <w:numPr>
          <w:ilvl w:val="0"/>
          <w:numId w:val="8"/>
        </w:numPr>
        <w:spacing w:line="276" w:lineRule="auto"/>
      </w:pPr>
      <w:r>
        <w:t>Ampliación de cobertura de atención mediante la creación de nuevos círculos de estudio en localidades de mayor rezago educativo.</w:t>
      </w:r>
    </w:p>
    <w:p w14:paraId="229FFD7E" w14:textId="48309495" w:rsidR="00F90251" w:rsidRDefault="00F90251" w:rsidP="00F90251">
      <w:pPr>
        <w:pStyle w:val="Prrafodelista"/>
        <w:numPr>
          <w:ilvl w:val="0"/>
          <w:numId w:val="8"/>
        </w:numPr>
        <w:spacing w:line="276" w:lineRule="auto"/>
      </w:pPr>
      <w:r>
        <w:lastRenderedPageBreak/>
        <w:t>Jornadas Estatales de Acreditación de Exámenes.</w:t>
      </w:r>
    </w:p>
    <w:p w14:paraId="6ECC89B6" w14:textId="62AC6F50" w:rsidR="00F90251" w:rsidRDefault="00F90251" w:rsidP="00F90251">
      <w:pPr>
        <w:pStyle w:val="Prrafodelista"/>
        <w:numPr>
          <w:ilvl w:val="0"/>
          <w:numId w:val="8"/>
        </w:numPr>
        <w:spacing w:line="276" w:lineRule="auto"/>
      </w:pPr>
      <w:r>
        <w:t>Brigadas de incorporación en las localidades con mayor número de jóvenes y adultos en rezago educativo.</w:t>
      </w:r>
    </w:p>
    <w:p w14:paraId="545FCF04" w14:textId="7E6321AC" w:rsidR="00B72B03" w:rsidRPr="00B72B03" w:rsidRDefault="00F90251" w:rsidP="00F90251">
      <w:pPr>
        <w:pStyle w:val="Prrafodelista"/>
        <w:numPr>
          <w:ilvl w:val="0"/>
          <w:numId w:val="8"/>
        </w:numPr>
        <w:spacing w:line="276" w:lineRule="auto"/>
      </w:pPr>
      <w:r>
        <w:t>Los Convenios de Colaboración con Instituciones Públicas, Privadas y Organizaciones Civiles.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43D61363" w14:textId="77777777" w:rsidR="00441C79" w:rsidRDefault="00441C79" w:rsidP="00441C79">
      <w:pPr>
        <w:pStyle w:val="Prrafodelista"/>
        <w:numPr>
          <w:ilvl w:val="0"/>
          <w:numId w:val="8"/>
        </w:numPr>
        <w:spacing w:line="276" w:lineRule="auto"/>
      </w:pPr>
      <w:r>
        <w:t>La carencia de medios de transporte para que las figuras operativas visiten las comunidades marginadas (zonas serranas), así como los altos costos de traslado.</w:t>
      </w:r>
    </w:p>
    <w:p w14:paraId="06B290D0" w14:textId="77777777" w:rsidR="00441C79" w:rsidRDefault="00441C79" w:rsidP="00441C79">
      <w:pPr>
        <w:pStyle w:val="Prrafodelista"/>
        <w:numPr>
          <w:ilvl w:val="0"/>
          <w:numId w:val="8"/>
        </w:numPr>
        <w:spacing w:line="276" w:lineRule="auto"/>
      </w:pPr>
      <w:r>
        <w:t>Presupuesto insuficiente para la promoción y difusión de los servicios del Instituto, lo cual repercute en la poca sensibilización de la sociedad, a participar en las tareas institucionales.</w:t>
      </w:r>
    </w:p>
    <w:p w14:paraId="0B6A38DB" w14:textId="77777777" w:rsidR="00441C79" w:rsidRDefault="00441C79" w:rsidP="00441C79">
      <w:pPr>
        <w:pStyle w:val="Prrafodelista"/>
        <w:numPr>
          <w:ilvl w:val="0"/>
          <w:numId w:val="8"/>
        </w:numPr>
        <w:spacing w:line="276" w:lineRule="auto"/>
      </w:pPr>
      <w:r>
        <w:t>Falta de vinculación de nuevas figuras que participen en los servicios educativos.</w:t>
      </w:r>
    </w:p>
    <w:p w14:paraId="0513F35E" w14:textId="77777777" w:rsidR="00441C79" w:rsidRDefault="00441C79" w:rsidP="00441C79">
      <w:pPr>
        <w:pStyle w:val="Prrafodelista"/>
        <w:numPr>
          <w:ilvl w:val="0"/>
          <w:numId w:val="8"/>
        </w:numPr>
        <w:spacing w:line="276" w:lineRule="auto"/>
      </w:pPr>
      <w:r>
        <w:t>La deserción de asesores que se presenta por diversos motivos, lo que implica un reto para el Instituto, debido a que los asesores son capacitados y después de unos meses algunos dejan de participar en el programa, en consecuencia, el ISEJA debe capacitar a nuevas figuras de forma constante, lo que representa un costo adicional.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6D25FA2F" w14:textId="77777777" w:rsidR="00441C79" w:rsidRDefault="00441C79" w:rsidP="00441C79">
      <w:pPr>
        <w:pStyle w:val="Prrafodelista"/>
        <w:numPr>
          <w:ilvl w:val="0"/>
          <w:numId w:val="8"/>
        </w:numPr>
        <w:spacing w:line="276" w:lineRule="auto"/>
      </w:pPr>
      <w:r>
        <w:t>La deserción en la educación básica del sistema escolarizado, que propicia un crecimiento constante en el rezago educativo, principalmente en el nivel secundaria.</w:t>
      </w:r>
    </w:p>
    <w:p w14:paraId="64FBC8BF" w14:textId="77777777" w:rsidR="00441C79" w:rsidRDefault="00441C79" w:rsidP="00441C79">
      <w:pPr>
        <w:pStyle w:val="Prrafodelista"/>
        <w:numPr>
          <w:ilvl w:val="0"/>
          <w:numId w:val="8"/>
        </w:numPr>
        <w:spacing w:line="276" w:lineRule="auto"/>
      </w:pPr>
      <w:r>
        <w:t>La lejanía y la dispersión de las comunidades, principalmente en los municipios serranos, ocasionando que el servicio no se brinde con oportunidad.</w:t>
      </w:r>
    </w:p>
    <w:p w14:paraId="2A5121FA" w14:textId="77777777" w:rsidR="00441C79" w:rsidRDefault="00441C79" w:rsidP="00441C79">
      <w:pPr>
        <w:pStyle w:val="Prrafodelista"/>
        <w:numPr>
          <w:ilvl w:val="0"/>
          <w:numId w:val="8"/>
        </w:numPr>
        <w:spacing w:line="276" w:lineRule="auto"/>
      </w:pPr>
      <w:r>
        <w:t>La falta de interés de jóvenes y adultos por iniciar o continuar con el estudio de su educación básica.</w:t>
      </w:r>
    </w:p>
    <w:p w14:paraId="1DEC0D26" w14:textId="77777777" w:rsidR="00441C79" w:rsidRPr="00441C79" w:rsidRDefault="00441C79" w:rsidP="00441C79">
      <w:pPr>
        <w:pStyle w:val="Prrafodelista"/>
        <w:numPr>
          <w:ilvl w:val="0"/>
          <w:numId w:val="8"/>
        </w:numPr>
      </w:pPr>
      <w:r w:rsidRPr="00441C79">
        <w:t>Reducción del presupuesto derivado del plan de austeridad implementado por el gobierno federal, por lo que el presupuesto destinado a la educación de jóvenes y adultos, resulta insuficiente, si se desea tener un mayor impacto en el rezago educativo.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613FACC6" w14:textId="77777777" w:rsidR="00F90251" w:rsidRPr="00F90251" w:rsidRDefault="00F90251" w:rsidP="00441C79">
      <w:pPr>
        <w:spacing w:line="276" w:lineRule="auto"/>
        <w:ind w:left="284"/>
        <w:jc w:val="both"/>
        <w:rPr>
          <w:lang w:val="es-ES"/>
        </w:rPr>
      </w:pPr>
      <w:r w:rsidRPr="00F90251">
        <w:rPr>
          <w:lang w:val="es-ES"/>
        </w:rPr>
        <w:t xml:space="preserve">A través de la cobertura implementada por el ISEJA, el programa muestra una gran eficiencia en el ejercicio fiscal 2022, lo anterior, en la atención a todas las personas mayores de 15 años que solicitan los servicios del ISEJA, aún y con los estragos presentados debido a la suspensión de actividades presenciales por la pandemia ocasionada por el virus del Sars-Cov2 (COVID-19). </w:t>
      </w:r>
    </w:p>
    <w:p w14:paraId="62D40570" w14:textId="77777777" w:rsidR="00F90251" w:rsidRPr="00F90251" w:rsidRDefault="00F90251" w:rsidP="00441C79">
      <w:pPr>
        <w:spacing w:line="276" w:lineRule="auto"/>
        <w:ind w:left="284"/>
        <w:jc w:val="both"/>
        <w:rPr>
          <w:lang w:val="es-ES"/>
        </w:rPr>
      </w:pPr>
      <w:r w:rsidRPr="00F90251">
        <w:rPr>
          <w:lang w:val="es-ES"/>
        </w:rPr>
        <w:t>En el ejercicio fiscal 2022, se logró la incorporación de 10,185 jóvenes y adultos al programa educativo, atendiéndose en la modalidad de asesorías a 15,755 educandos en los tres niveles impartidos por el ISEJA y concluyendo de nivel educativo 11,803, si bien actualmente se tiene presencia en los 18 municipios, con las diez coordinaciones de zona y nueve delegaciones municipales, aún quedan localidades por atender.</w:t>
      </w:r>
    </w:p>
    <w:p w14:paraId="7AE18DE6" w14:textId="77777777" w:rsidR="00F90251" w:rsidRPr="00F90251" w:rsidRDefault="00F90251" w:rsidP="00441C79">
      <w:pPr>
        <w:spacing w:line="276" w:lineRule="auto"/>
        <w:ind w:left="284"/>
        <w:jc w:val="both"/>
        <w:rPr>
          <w:lang w:val="es-ES"/>
        </w:rPr>
      </w:pPr>
      <w:r w:rsidRPr="00F90251">
        <w:rPr>
          <w:lang w:val="es-ES"/>
        </w:rPr>
        <w:t xml:space="preserve">Los principales factores a los que se enfrenta el instituto para ampliar su cobertura de atención y tener un impacto más considerable en el rezago educativo, son los siguientes: Reducción de presupuesto derivado del plan de austeridad implementado por el Gobierno Federal, deserción de los jóvenes atendidos en el sistema escolarizado, principalmente en el nivel secundaria, la inseguridad y difícil acceso para tener presencia </w:t>
      </w:r>
      <w:r w:rsidRPr="00F90251">
        <w:rPr>
          <w:lang w:val="es-ES"/>
        </w:rPr>
        <w:lastRenderedPageBreak/>
        <w:t>constante en algunos municipios de la zona serrana, además del desinterés de algunos jóvenes y adultos por recibir los servicios educativos, propiciado por la situación económica, debido a que prefieren atender las actividades laborales y dejan en segundo plano su educación, aunado a estos factores, los efectos subsecuentes de la contingencia sanitaria también tuvieron un impacto en los resultados del programa.</w:t>
      </w:r>
    </w:p>
    <w:p w14:paraId="31F36EB1" w14:textId="3A0DA631" w:rsidR="00113BCD" w:rsidRDefault="00F90251" w:rsidP="00441C79">
      <w:pPr>
        <w:spacing w:line="276" w:lineRule="auto"/>
        <w:ind w:left="284"/>
        <w:jc w:val="both"/>
        <w:rPr>
          <w:lang w:val="es-ES"/>
        </w:rPr>
      </w:pPr>
      <w:r w:rsidRPr="00F90251">
        <w:rPr>
          <w:lang w:val="es-ES"/>
        </w:rPr>
        <w:t>Sin embargo, para seguir consolidando los servicios educativos que brinda el ISEJA a la población y reafirmar el compromiso que se tiene como institución de sumar esfuerzos para construir una sociedad sólida y fortalecida, se continúa con la búsqueda y el establecimiento de estrategias de atención, mismas que han coadyuvado a que el rezago educativo en la Entidad disminuya cada año.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1AF1AFBC" w14:textId="77777777" w:rsidR="00F90251" w:rsidRDefault="00F90251" w:rsidP="00F902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Carencia de medios de transporte para que las figuras operativas visiten las comunidades marginadas (zonas serranas).</w:t>
      </w:r>
    </w:p>
    <w:p w14:paraId="44EF83C9" w14:textId="77777777" w:rsidR="00F90251" w:rsidRDefault="00F90251" w:rsidP="00F902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Deserción de asesores, así como la deserción en la educación básica del sistema escolarizado, principalmente en el nivel secundaria.</w:t>
      </w:r>
    </w:p>
    <w:p w14:paraId="339F8140" w14:textId="77777777" w:rsidR="00F90251" w:rsidRDefault="00F90251" w:rsidP="00F902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Lejanía y la dispersión de las comunidades, principalmente en los municipios serranos.</w:t>
      </w:r>
    </w:p>
    <w:p w14:paraId="092E35D1" w14:textId="77777777" w:rsidR="00F90251" w:rsidRDefault="00F90251" w:rsidP="00F902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Falta de interés de jóvenes y adultos por iniciar o continuar con el estudio de su educación básica.</w:t>
      </w:r>
    </w:p>
    <w:p w14:paraId="4CD343EE" w14:textId="77777777" w:rsidR="00F90251" w:rsidRDefault="00F90251" w:rsidP="00F902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Presupuesto insuficiente para la promoción y difusión de los servicios del instituto.</w:t>
      </w:r>
    </w:p>
    <w:p w14:paraId="5FE1D35B" w14:textId="77777777" w:rsidR="00F90251" w:rsidRDefault="00F90251" w:rsidP="00F90251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Reducción del presupuesto derivado del plan de austeridad implementado por el gobierno federal.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F15B0C" w:rsidP="006E538E">
            <w:pPr>
              <w:spacing w:after="0" w:line="276" w:lineRule="auto"/>
              <w:ind w:left="179"/>
            </w:pPr>
            <w:hyperlink r:id="rId8" w:history="1">
              <w:r w:rsidR="006E538E"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7FAFC67A" w:rsidR="007C4CD6" w:rsidRPr="00521401" w:rsidRDefault="00441C79" w:rsidP="00521401">
            <w:pPr>
              <w:spacing w:after="0" w:line="276" w:lineRule="auto"/>
              <w:ind w:left="179"/>
            </w:pPr>
            <w:r>
              <w:t>Educación para Jóvenes y Adultos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4C798711" w:rsidR="007C4CD6" w:rsidRPr="007C4CD6" w:rsidRDefault="00441C79" w:rsidP="00521401">
            <w:pPr>
              <w:spacing w:after="0" w:line="276" w:lineRule="auto"/>
              <w:ind w:left="179"/>
            </w:pPr>
            <w:r>
              <w:t>EJA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14E13C83" w:rsidR="007C4CD6" w:rsidRPr="007C4CD6" w:rsidRDefault="00441C79" w:rsidP="00521401">
            <w:pPr>
              <w:spacing w:after="0" w:line="276" w:lineRule="auto"/>
              <w:ind w:left="179"/>
            </w:pPr>
            <w:r w:rsidRPr="00441C79">
              <w:lastRenderedPageBreak/>
              <w:t>Instituto Sinaloense para la Educación</w:t>
            </w:r>
            <w:r>
              <w:t xml:space="preserve"> de los Jóvenes y Adultos (ISEJ</w:t>
            </w:r>
            <w:r w:rsidRPr="00441C79">
              <w:t>A)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F15B0C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5DC0DC84" w:rsidR="005A28B9" w:rsidRPr="00A16BE7" w:rsidRDefault="00AA02BA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F15B0C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0B348851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027A069F" w:rsidR="00090637" w:rsidRPr="00090637" w:rsidRDefault="00F15B0C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F15B0C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4D1E7364" w:rsidR="005065B9" w:rsidRPr="00521401" w:rsidRDefault="00441C79" w:rsidP="005065B9">
            <w:pPr>
              <w:spacing w:after="0" w:line="276" w:lineRule="auto"/>
              <w:ind w:left="179"/>
            </w:pPr>
            <w:r w:rsidRPr="00441C79">
              <w:t>Dr. Rubén Miranda López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F15B0C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632ECF4D" w:rsidR="00A4624B" w:rsidRPr="007301C5" w:rsidRDefault="00F15B0C" w:rsidP="00A4624B">
            <w:pPr>
              <w:spacing w:after="0" w:line="276" w:lineRule="auto"/>
              <w:ind w:left="179"/>
            </w:pPr>
            <w:hyperlink r:id="rId9" w:history="1">
              <w:r w:rsidR="00441C79" w:rsidRPr="00BC6B52">
                <w:rPr>
                  <w:rStyle w:val="Hipervnculo"/>
                </w:rPr>
                <w:t>rmiranda@inea.gob.mx</w:t>
              </w:r>
            </w:hyperlink>
            <w:r w:rsidR="00441C79"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F15B0C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402DEBFD" w:rsidR="004E1FF7" w:rsidRPr="007301C5" w:rsidRDefault="00441C79" w:rsidP="004E1FF7">
            <w:pPr>
              <w:spacing w:after="0" w:line="276" w:lineRule="auto"/>
              <w:ind w:left="179"/>
            </w:pPr>
            <w:r w:rsidRPr="00441C79">
              <w:t>Instituto Sinaloense para la Educación</w:t>
            </w:r>
            <w:r>
              <w:t xml:space="preserve"> de los Jóvenes y Adultos (ISEJ</w:t>
            </w:r>
            <w:r w:rsidRPr="00441C79">
              <w:t>A)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F15B0C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755FABDE" w:rsidR="004E1FF7" w:rsidRPr="007301C5" w:rsidRDefault="00441C79" w:rsidP="004E1FF7">
            <w:pPr>
              <w:spacing w:after="0" w:line="276" w:lineRule="auto"/>
              <w:ind w:left="179"/>
            </w:pPr>
            <w:r>
              <w:t xml:space="preserve">(667) </w:t>
            </w:r>
            <w:r w:rsidR="00CF698F" w:rsidRPr="00CF698F">
              <w:t>715</w:t>
            </w:r>
            <w:r w:rsidR="00F15B0C">
              <w:t xml:space="preserve"> </w:t>
            </w:r>
            <w:r w:rsidR="00CF698F" w:rsidRPr="00CF698F">
              <w:t>37</w:t>
            </w:r>
            <w:r w:rsidR="00F15B0C">
              <w:t xml:space="preserve"> </w:t>
            </w:r>
            <w:r w:rsidR="00CF698F" w:rsidRPr="00CF698F">
              <w:t>55</w:t>
            </w:r>
            <w:r w:rsidR="00CF698F">
              <w:t xml:space="preserve">, </w:t>
            </w:r>
            <w:r w:rsidR="00CF698F" w:rsidRPr="00CF698F">
              <w:t>713</w:t>
            </w:r>
            <w:r w:rsidR="00F15B0C">
              <w:t xml:space="preserve"> </w:t>
            </w:r>
            <w:r w:rsidR="00CF698F" w:rsidRPr="00CF698F">
              <w:t>90</w:t>
            </w:r>
            <w:r w:rsidR="00F15B0C">
              <w:t xml:space="preserve"> </w:t>
            </w:r>
            <w:r w:rsidR="00CF698F" w:rsidRPr="00CF698F">
              <w:t>68, 715</w:t>
            </w:r>
            <w:r w:rsidR="00F15B0C">
              <w:t xml:space="preserve"> </w:t>
            </w:r>
            <w:r w:rsidR="00CF698F" w:rsidRPr="00CF698F">
              <w:t>03</w:t>
            </w:r>
            <w:r w:rsidR="00F15B0C">
              <w:t xml:space="preserve"> </w:t>
            </w:r>
            <w:r w:rsidR="00CF698F" w:rsidRPr="00CF698F">
              <w:t>32</w:t>
            </w:r>
            <w:r w:rsidR="00CF698F">
              <w:t xml:space="preserve"> y </w:t>
            </w:r>
            <w:r w:rsidR="00CF698F" w:rsidRPr="00CF698F">
              <w:t>715</w:t>
            </w:r>
            <w:r w:rsidR="00F15B0C">
              <w:t xml:space="preserve"> </w:t>
            </w:r>
            <w:r w:rsidR="00CF698F" w:rsidRPr="00CF698F">
              <w:t>36</w:t>
            </w:r>
            <w:r w:rsidR="00F15B0C">
              <w:t xml:space="preserve"> </w:t>
            </w:r>
            <w:r w:rsidR="00CF698F" w:rsidRPr="00CF698F">
              <w:t>73</w:t>
            </w:r>
            <w:r w:rsidR="00CF698F">
              <w:t>, Ext. 521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77777777" w:rsidR="00A06CEF" w:rsidRPr="00866990" w:rsidRDefault="00C61D21" w:rsidP="00A06CEF">
            <w:pPr>
              <w:spacing w:after="0" w:line="276" w:lineRule="auto"/>
            </w:pPr>
            <w:r w:rsidRPr="00866990">
              <w:t>Evaluación Interna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05FAE6C4" w:rsidR="00090637" w:rsidRPr="00866990" w:rsidRDefault="00441C79" w:rsidP="00521401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54106BB7" w:rsidR="00090637" w:rsidRPr="00866990" w:rsidRDefault="00441C79" w:rsidP="00521401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274613F1" w:rsidR="004C435E" w:rsidRPr="00866990" w:rsidRDefault="00441C79" w:rsidP="004C435E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D61838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189D" w14:textId="77777777" w:rsidR="00084B60" w:rsidRDefault="00084B60" w:rsidP="008E5209">
      <w:pPr>
        <w:spacing w:after="0" w:line="240" w:lineRule="auto"/>
      </w:pPr>
      <w:r>
        <w:separator/>
      </w:r>
    </w:p>
  </w:endnote>
  <w:endnote w:type="continuationSeparator" w:id="0">
    <w:p w14:paraId="066BEA5E" w14:textId="77777777" w:rsidR="00084B60" w:rsidRDefault="00084B6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51BBE89F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6648F5">
          <w:rPr>
            <w:b/>
            <w:bCs/>
            <w:noProof/>
            <w:sz w:val="18"/>
            <w:szCs w:val="18"/>
          </w:rPr>
          <w:t>2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0C7C75AA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6648F5" w:rsidRPr="006648F5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D6B6" w14:textId="77777777" w:rsidR="00084B60" w:rsidRDefault="00084B60" w:rsidP="008E5209">
      <w:pPr>
        <w:spacing w:after="0" w:line="240" w:lineRule="auto"/>
      </w:pPr>
      <w:r>
        <w:separator/>
      </w:r>
    </w:p>
  </w:footnote>
  <w:footnote w:type="continuationSeparator" w:id="0">
    <w:p w14:paraId="4E433780" w14:textId="77777777" w:rsidR="00084B60" w:rsidRDefault="00084B6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DDD3" w14:textId="77777777" w:rsidR="0008479E" w:rsidRPr="00F15B0C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F15B0C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5B0C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6.8pt;height:595.4pt" o:bullet="t">
        <v:imagedata r:id="rId1" o:title="03"/>
      </v:shape>
    </w:pict>
  </w:numPicBullet>
  <w:numPicBullet w:numPicBulletId="1">
    <w:pict>
      <v:shape id="_x0000_i1027" type="#_x0000_t75" style="width:282.9pt;height:297.2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233855328">
    <w:abstractNumId w:val="23"/>
  </w:num>
  <w:num w:numId="2" w16cid:durableId="2023896910">
    <w:abstractNumId w:val="21"/>
  </w:num>
  <w:num w:numId="3" w16cid:durableId="948852945">
    <w:abstractNumId w:val="7"/>
  </w:num>
  <w:num w:numId="4" w16cid:durableId="1395932061">
    <w:abstractNumId w:val="19"/>
  </w:num>
  <w:num w:numId="5" w16cid:durableId="168835898">
    <w:abstractNumId w:val="2"/>
    <w:lvlOverride w:ilvl="0"/>
  </w:num>
  <w:num w:numId="6" w16cid:durableId="305546045">
    <w:abstractNumId w:val="27"/>
  </w:num>
  <w:num w:numId="7" w16cid:durableId="1483766596">
    <w:abstractNumId w:val="28"/>
  </w:num>
  <w:num w:numId="8" w16cid:durableId="1164391795">
    <w:abstractNumId w:val="29"/>
  </w:num>
  <w:num w:numId="9" w16cid:durableId="537426169">
    <w:abstractNumId w:val="20"/>
  </w:num>
  <w:num w:numId="10" w16cid:durableId="1068502493">
    <w:abstractNumId w:val="12"/>
  </w:num>
  <w:num w:numId="11" w16cid:durableId="603683482">
    <w:abstractNumId w:val="14"/>
  </w:num>
  <w:num w:numId="12" w16cid:durableId="1868446180">
    <w:abstractNumId w:val="26"/>
  </w:num>
  <w:num w:numId="13" w16cid:durableId="688524460">
    <w:abstractNumId w:val="25"/>
  </w:num>
  <w:num w:numId="14" w16cid:durableId="1529222642">
    <w:abstractNumId w:val="22"/>
  </w:num>
  <w:num w:numId="15" w16cid:durableId="1732653153">
    <w:abstractNumId w:val="16"/>
  </w:num>
  <w:num w:numId="16" w16cid:durableId="1314946924">
    <w:abstractNumId w:val="4"/>
  </w:num>
  <w:num w:numId="17" w16cid:durableId="1261723079">
    <w:abstractNumId w:val="6"/>
  </w:num>
  <w:num w:numId="18" w16cid:durableId="145706035">
    <w:abstractNumId w:val="17"/>
  </w:num>
  <w:num w:numId="19" w16cid:durableId="1678386215">
    <w:abstractNumId w:val="15"/>
  </w:num>
  <w:num w:numId="20" w16cid:durableId="1718629458">
    <w:abstractNumId w:val="5"/>
  </w:num>
  <w:num w:numId="21" w16cid:durableId="291207367">
    <w:abstractNumId w:val="3"/>
  </w:num>
  <w:num w:numId="22" w16cid:durableId="604121861">
    <w:abstractNumId w:val="13"/>
  </w:num>
  <w:num w:numId="23" w16cid:durableId="1299340198">
    <w:abstractNumId w:val="24"/>
  </w:num>
  <w:num w:numId="24" w16cid:durableId="14701280">
    <w:abstractNumId w:val="11"/>
  </w:num>
  <w:num w:numId="25" w16cid:durableId="494801673">
    <w:abstractNumId w:val="18"/>
  </w:num>
  <w:num w:numId="26" w16cid:durableId="997221870">
    <w:abstractNumId w:val="8"/>
  </w:num>
  <w:num w:numId="27" w16cid:durableId="435907996">
    <w:abstractNumId w:val="10"/>
  </w:num>
  <w:num w:numId="28" w16cid:durableId="476336661">
    <w:abstractNumId w:val="0"/>
  </w:num>
  <w:num w:numId="29" w16cid:durableId="305356426">
    <w:abstractNumId w:val="9"/>
  </w:num>
  <w:num w:numId="30" w16cid:durableId="49480708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4B60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1C79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48F5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1985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02BA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284D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CF698F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1838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D433F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5B0C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0251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miranda@inea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19AF-4DC1-472A-953F-1511590C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</Template>
  <TotalTime>47</TotalTime>
  <Pages>5</Pages>
  <Words>1846</Words>
  <Characters>10156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Hauchbaum</cp:lastModifiedBy>
  <cp:revision>5</cp:revision>
  <cp:lastPrinted>2023-07-10T17:25:00Z</cp:lastPrinted>
  <dcterms:created xsi:type="dcterms:W3CDTF">2023-07-05T20:51:00Z</dcterms:created>
  <dcterms:modified xsi:type="dcterms:W3CDTF">2023-07-11T02:56:00Z</dcterms:modified>
</cp:coreProperties>
</file>